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7" w:type="pct"/>
        <w:tblCellMar>
          <w:left w:w="0" w:type="dxa"/>
          <w:right w:w="0" w:type="dxa"/>
        </w:tblCellMar>
        <w:tblLook w:val="04A0" w:firstRow="1" w:lastRow="0" w:firstColumn="1" w:lastColumn="0" w:noHBand="0" w:noVBand="1"/>
      </w:tblPr>
      <w:tblGrid>
        <w:gridCol w:w="4483"/>
        <w:gridCol w:w="4815"/>
      </w:tblGrid>
      <w:tr w:rsidR="00E84191" w:rsidRPr="00A55456" w14:paraId="13FA656A" w14:textId="77777777" w:rsidTr="00F13412">
        <w:trPr>
          <w:trHeight w:val="87"/>
        </w:trPr>
        <w:tc>
          <w:tcPr>
            <w:tcW w:w="2411" w:type="pct"/>
            <w:tcMar>
              <w:top w:w="0" w:type="dxa"/>
              <w:left w:w="108" w:type="dxa"/>
              <w:bottom w:w="0" w:type="dxa"/>
              <w:right w:w="108" w:type="dxa"/>
            </w:tcMar>
            <w:hideMark/>
          </w:tcPr>
          <w:p w14:paraId="7DA46E74" w14:textId="77777777" w:rsidR="00E84191" w:rsidRPr="00A55456" w:rsidRDefault="00E84191" w:rsidP="00F13412">
            <w:pPr>
              <w:spacing w:after="160" w:line="259" w:lineRule="auto"/>
              <w:rPr>
                <w:rFonts w:eastAsia="Calibri"/>
                <w:sz w:val="24"/>
                <w:szCs w:val="24"/>
                <w:lang w:val="en-US" w:bidi="km-KH"/>
              </w:rPr>
            </w:pPr>
            <w:r w:rsidRPr="00A55456">
              <w:rPr>
                <w:rFonts w:eastAsia="Calibri"/>
                <w:noProof/>
                <w:sz w:val="24"/>
                <w:szCs w:val="24"/>
                <w:lang w:eastAsia="en-GB" w:bidi="km-KH"/>
              </w:rPr>
              <w:drawing>
                <wp:inline distT="0" distB="0" distL="0" distR="0" wp14:anchorId="596E0AB4" wp14:editId="6D9D7D9F">
                  <wp:extent cx="1932305" cy="963930"/>
                  <wp:effectExtent l="0" t="0" r="0" b="7620"/>
                  <wp:docPr id="2" name="Picture 2" descr="cid:image002.gif@01D38871.7A9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D38871.7A905E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32305" cy="963930"/>
                          </a:xfrm>
                          <a:prstGeom prst="rect">
                            <a:avLst/>
                          </a:prstGeom>
                          <a:noFill/>
                          <a:ln>
                            <a:noFill/>
                          </a:ln>
                        </pic:spPr>
                      </pic:pic>
                    </a:graphicData>
                  </a:graphic>
                </wp:inline>
              </w:drawing>
            </w:r>
          </w:p>
        </w:tc>
        <w:tc>
          <w:tcPr>
            <w:tcW w:w="2589" w:type="pct"/>
            <w:tcMar>
              <w:top w:w="0" w:type="dxa"/>
              <w:left w:w="108" w:type="dxa"/>
              <w:bottom w:w="0" w:type="dxa"/>
              <w:right w:w="108" w:type="dxa"/>
            </w:tcMar>
            <w:hideMark/>
          </w:tcPr>
          <w:p w14:paraId="282E5187" w14:textId="77777777" w:rsidR="00E84191" w:rsidRPr="00A55456" w:rsidRDefault="00E84191" w:rsidP="00F13412">
            <w:pPr>
              <w:spacing w:after="160" w:line="259" w:lineRule="auto"/>
              <w:jc w:val="right"/>
              <w:rPr>
                <w:rFonts w:eastAsia="Calibri"/>
                <w:sz w:val="24"/>
                <w:szCs w:val="24"/>
                <w:lang w:val="en-US" w:bidi="km-KH"/>
              </w:rPr>
            </w:pPr>
            <w:r w:rsidRPr="00A55456">
              <w:rPr>
                <w:rFonts w:eastAsia="Calibri"/>
                <w:noProof/>
                <w:sz w:val="24"/>
                <w:szCs w:val="24"/>
                <w:lang w:eastAsia="en-GB" w:bidi="km-KH"/>
              </w:rPr>
              <w:drawing>
                <wp:inline distT="0" distB="0" distL="0" distR="0" wp14:anchorId="4DE91B9F" wp14:editId="02D57B1B">
                  <wp:extent cx="2095500" cy="963930"/>
                  <wp:effectExtent l="0" t="0" r="0" b="7620"/>
                  <wp:docPr id="1" name="Picture 1" descr="cid:image004.gif@01D38871.7A9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gif@01D38871.7A905E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5500" cy="963930"/>
                          </a:xfrm>
                          <a:prstGeom prst="rect">
                            <a:avLst/>
                          </a:prstGeom>
                          <a:noFill/>
                          <a:ln>
                            <a:noFill/>
                          </a:ln>
                        </pic:spPr>
                      </pic:pic>
                    </a:graphicData>
                  </a:graphic>
                </wp:inline>
              </w:drawing>
            </w:r>
          </w:p>
        </w:tc>
      </w:tr>
    </w:tbl>
    <w:p w14:paraId="08113DEC" w14:textId="77777777" w:rsidR="00E84191" w:rsidRPr="00A55456" w:rsidRDefault="00E84191" w:rsidP="00E84191">
      <w:pPr>
        <w:jc w:val="center"/>
        <w:rPr>
          <w:rFonts w:ascii="Arial" w:eastAsia="Calibri" w:hAnsi="Arial" w:cs="Arial"/>
          <w:b/>
          <w:bCs/>
          <w:sz w:val="28"/>
          <w:szCs w:val="28"/>
          <w:lang w:bidi="km-KH"/>
        </w:rPr>
      </w:pPr>
    </w:p>
    <w:p w14:paraId="188132DF" w14:textId="77777777" w:rsidR="00E84191" w:rsidRPr="00A55456" w:rsidRDefault="00E84191" w:rsidP="00E84191">
      <w:pPr>
        <w:jc w:val="center"/>
        <w:rPr>
          <w:rFonts w:ascii="Arial" w:eastAsia="Calibri" w:hAnsi="Arial" w:cs="Arial"/>
          <w:b/>
          <w:bCs/>
          <w:sz w:val="28"/>
          <w:szCs w:val="28"/>
          <w:lang w:bidi="km-KH"/>
        </w:rPr>
      </w:pPr>
      <w:r w:rsidRPr="00A55456">
        <w:rPr>
          <w:rFonts w:ascii="Arial" w:eastAsia="Calibri" w:hAnsi="Arial" w:cs="Arial"/>
          <w:b/>
          <w:bCs/>
          <w:sz w:val="28"/>
          <w:szCs w:val="28"/>
          <w:lang w:bidi="km-KH"/>
        </w:rPr>
        <w:t xml:space="preserve">Cambodia: Data surveillance legislation is ‘repressive’, must not be implemented – UN experts </w:t>
      </w:r>
    </w:p>
    <w:p w14:paraId="2F8947F7" w14:textId="77777777" w:rsidR="00E84191" w:rsidRPr="00A55456" w:rsidRDefault="00E84191" w:rsidP="00E84191">
      <w:pPr>
        <w:rPr>
          <w:rFonts w:ascii="Arial" w:eastAsia="Calibri" w:hAnsi="Arial" w:cs="Arial"/>
          <w:b/>
          <w:bCs/>
          <w:sz w:val="24"/>
          <w:szCs w:val="24"/>
          <w:lang w:bidi="km-KH"/>
        </w:rPr>
      </w:pPr>
    </w:p>
    <w:p w14:paraId="409A95FD" w14:textId="77777777" w:rsidR="00E84191" w:rsidRPr="00A55456" w:rsidRDefault="00E84191" w:rsidP="00E84191">
      <w:pPr>
        <w:rPr>
          <w:rFonts w:ascii="Arial" w:eastAsia="Calibri" w:hAnsi="Arial" w:cs="Arial"/>
          <w:sz w:val="24"/>
          <w:szCs w:val="24"/>
          <w:lang w:bidi="km-KH"/>
        </w:rPr>
      </w:pPr>
      <w:r w:rsidRPr="00A55456">
        <w:rPr>
          <w:rFonts w:ascii="Arial" w:eastAsia="Calibri" w:hAnsi="Arial" w:cs="Arial"/>
          <w:sz w:val="24"/>
          <w:szCs w:val="24"/>
          <w:lang w:bidi="km-KH"/>
        </w:rPr>
        <w:t>GENEVA (</w:t>
      </w:r>
      <w:r>
        <w:rPr>
          <w:rFonts w:ascii="Arial" w:eastAsia="Calibri" w:hAnsi="Arial" w:cs="Arial"/>
          <w:sz w:val="24"/>
          <w:szCs w:val="24"/>
          <w:lang w:bidi="km-KH"/>
        </w:rPr>
        <w:t>1 February</w:t>
      </w:r>
      <w:r w:rsidRPr="00A55456">
        <w:rPr>
          <w:rFonts w:ascii="Arial" w:eastAsia="Calibri" w:hAnsi="Arial" w:cs="Arial"/>
          <w:sz w:val="24"/>
          <w:szCs w:val="24"/>
          <w:lang w:bidi="km-KH"/>
        </w:rPr>
        <w:t xml:space="preserve"> 2022) – UN human rights experts* today urged Cambodian authorities to halt the planned implementation of data surveillance legislation, saying it is repressive and further undermines privacy rights and democratic freedoms in the country.  </w:t>
      </w:r>
    </w:p>
    <w:p w14:paraId="0578DACA" w14:textId="77777777" w:rsidR="00E84191" w:rsidRPr="00A55456" w:rsidRDefault="00E84191" w:rsidP="00E84191">
      <w:pPr>
        <w:rPr>
          <w:rFonts w:ascii="Arial" w:eastAsia="Calibri" w:hAnsi="Arial" w:cs="Arial"/>
          <w:sz w:val="24"/>
          <w:szCs w:val="24"/>
          <w:lang w:bidi="km-KH"/>
        </w:rPr>
      </w:pPr>
    </w:p>
    <w:p w14:paraId="086E1CA0" w14:textId="77777777" w:rsidR="00E84191" w:rsidRPr="00A55456" w:rsidRDefault="00E84191" w:rsidP="00E84191">
      <w:pPr>
        <w:spacing w:after="160" w:line="259" w:lineRule="auto"/>
        <w:rPr>
          <w:rFonts w:ascii="Arial" w:eastAsia="Calibri" w:hAnsi="Arial" w:cs="Arial"/>
          <w:sz w:val="24"/>
          <w:szCs w:val="24"/>
          <w:lang w:bidi="km-KH"/>
        </w:rPr>
      </w:pPr>
      <w:r w:rsidRPr="00A55456">
        <w:rPr>
          <w:rFonts w:ascii="Arial" w:eastAsia="Calibri" w:hAnsi="Arial" w:cs="Arial"/>
          <w:sz w:val="24"/>
          <w:szCs w:val="24"/>
          <w:lang w:bidi="km-KH"/>
        </w:rPr>
        <w:t xml:space="preserve">The Sub-decree on the Establishment of the National Internet Gateway, due to come into effect on 16 February, will have a serious negative impact on internet freedom, human rights defenders and civil society in the country, further shrinking the already-restrictive civic space in Cambodia, the experts said. The decree permits the Cambodian Government to monitor internet activity, intercept and censor digital communications, and collect, retain and share personal data of users. </w:t>
      </w:r>
    </w:p>
    <w:p w14:paraId="034CE42B" w14:textId="77777777" w:rsidR="00E84191" w:rsidRPr="00A55456" w:rsidRDefault="00E84191" w:rsidP="00E84191">
      <w:pPr>
        <w:spacing w:after="160" w:line="259" w:lineRule="auto"/>
        <w:rPr>
          <w:rFonts w:ascii="Arial" w:eastAsia="Calibri" w:hAnsi="Arial" w:cs="Arial"/>
          <w:sz w:val="24"/>
          <w:szCs w:val="24"/>
          <w:lang w:bidi="km-KH"/>
        </w:rPr>
      </w:pPr>
      <w:r w:rsidRPr="00A55456">
        <w:rPr>
          <w:rFonts w:ascii="Arial" w:eastAsia="Calibri" w:hAnsi="Arial" w:cs="Arial"/>
          <w:sz w:val="24"/>
          <w:szCs w:val="24"/>
          <w:lang w:bidi="km-KH"/>
        </w:rPr>
        <w:t>“This repressive decree could have a devastating effect on privacy and presents an inherent risk such information could be misused,” the experts said.</w:t>
      </w:r>
    </w:p>
    <w:p w14:paraId="37DA0862" w14:textId="77777777" w:rsidR="00E84191" w:rsidRPr="00A55456" w:rsidRDefault="00E84191" w:rsidP="00E84191">
      <w:pPr>
        <w:spacing w:after="160" w:line="259" w:lineRule="auto"/>
        <w:rPr>
          <w:rFonts w:ascii="Arial" w:eastAsia="Calibri" w:hAnsi="Arial" w:cs="Arial"/>
          <w:sz w:val="24"/>
          <w:szCs w:val="24"/>
          <w:lang w:bidi="km-KH"/>
        </w:rPr>
      </w:pPr>
      <w:r w:rsidRPr="00A55456">
        <w:rPr>
          <w:rFonts w:ascii="Arial" w:eastAsia="Calibri" w:hAnsi="Arial" w:cs="Arial"/>
          <w:sz w:val="24"/>
          <w:szCs w:val="24"/>
          <w:lang w:bidi="km-KH"/>
        </w:rPr>
        <w:t xml:space="preserve">The legislation grants exhaustive power to so-called National Internet Gateway operators to monitor websites that people visit, as well as the metadata related to every website visit. It will also allow authorities to arbitrarily switch off internet access or block certain websites or domains. </w:t>
      </w:r>
    </w:p>
    <w:p w14:paraId="42806B60" w14:textId="77777777" w:rsidR="00E84191" w:rsidRPr="00A55456" w:rsidRDefault="00E84191" w:rsidP="00E84191">
      <w:pPr>
        <w:spacing w:after="160" w:line="259" w:lineRule="auto"/>
        <w:rPr>
          <w:rFonts w:ascii="Arial" w:eastAsia="Calibri" w:hAnsi="Arial" w:cs="Arial"/>
          <w:sz w:val="24"/>
          <w:szCs w:val="24"/>
          <w:lang w:bidi="km-KH"/>
        </w:rPr>
      </w:pPr>
      <w:r w:rsidRPr="00A55456">
        <w:rPr>
          <w:rFonts w:ascii="Arial" w:eastAsia="Calibri" w:hAnsi="Arial" w:cs="Arial"/>
          <w:sz w:val="24"/>
          <w:szCs w:val="24"/>
          <w:lang w:bidi="km-KH"/>
        </w:rPr>
        <w:t>“As the world has evolved to depend on internet access as a primary channel for communication, information sharing and networking, the body which controls the internet effectively controls much of society,” the experts said.</w:t>
      </w:r>
    </w:p>
    <w:p w14:paraId="53A40F33" w14:textId="77777777" w:rsidR="00E84191" w:rsidRPr="00A55456" w:rsidRDefault="00E84191" w:rsidP="00E84191">
      <w:pPr>
        <w:spacing w:after="160" w:line="259" w:lineRule="auto"/>
        <w:rPr>
          <w:rFonts w:ascii="Arial" w:eastAsia="Calibri" w:hAnsi="Arial" w:cs="Arial"/>
          <w:sz w:val="24"/>
          <w:szCs w:val="24"/>
          <w:lang w:bidi="km-KH"/>
        </w:rPr>
      </w:pPr>
      <w:r w:rsidRPr="00A55456">
        <w:rPr>
          <w:rFonts w:ascii="Arial" w:eastAsia="Calibri" w:hAnsi="Arial" w:cs="Arial"/>
          <w:sz w:val="24"/>
          <w:szCs w:val="24"/>
          <w:lang w:bidi="km-KH"/>
        </w:rPr>
        <w:t>The experts said the decree, in its current form, goes beyond the permissible restrictions to freedom of expression established in Articles 17 and 19(3) of the International Covenant on Civil and Political Rights, a cornerstone human rights treaty to which Cambodia is a party. They are requesting Cambodian authorities suspend implementation and work with international human rights mechanisms and the United Nations Country Team to bring it into line with human rights protections.</w:t>
      </w:r>
    </w:p>
    <w:p w14:paraId="57E802C0" w14:textId="77777777" w:rsidR="00E84191" w:rsidRPr="00A55456" w:rsidRDefault="00E84191" w:rsidP="00E84191">
      <w:pPr>
        <w:spacing w:after="160" w:line="259" w:lineRule="auto"/>
        <w:rPr>
          <w:rFonts w:ascii="Arial" w:eastAsia="Calibri" w:hAnsi="Arial" w:cs="Arial"/>
          <w:sz w:val="24"/>
          <w:szCs w:val="24"/>
          <w:lang w:bidi="km-KH"/>
        </w:rPr>
      </w:pPr>
      <w:r w:rsidRPr="00A55456">
        <w:rPr>
          <w:rFonts w:ascii="Arial" w:eastAsia="Calibri" w:hAnsi="Arial" w:cs="Arial"/>
          <w:sz w:val="24"/>
          <w:szCs w:val="24"/>
          <w:lang w:bidi="km-KH"/>
        </w:rPr>
        <w:t>“To legally justify such a sweeping infringement on personal freedoms requires compliance with strict tests of legality, necessity and proportionality, including for matters of national security or public morality,” the experts said. “It is exceedingly hard to imagine how any such legal justification may apply in this case.”</w:t>
      </w:r>
    </w:p>
    <w:p w14:paraId="7ABE56D0" w14:textId="77777777" w:rsidR="00E84191" w:rsidRPr="00A55456" w:rsidRDefault="00E84191" w:rsidP="00E84191">
      <w:pPr>
        <w:spacing w:after="160" w:line="259" w:lineRule="auto"/>
        <w:rPr>
          <w:rFonts w:ascii="Arial" w:eastAsia="Calibri" w:hAnsi="Arial" w:cs="Arial"/>
          <w:sz w:val="24"/>
          <w:szCs w:val="24"/>
          <w:lang w:bidi="km-KH"/>
        </w:rPr>
      </w:pPr>
      <w:r w:rsidRPr="00A55456">
        <w:rPr>
          <w:rFonts w:ascii="Arial" w:eastAsia="Calibri" w:hAnsi="Arial" w:cs="Arial"/>
          <w:sz w:val="24"/>
          <w:szCs w:val="24"/>
          <w:lang w:bidi="km-KH"/>
        </w:rPr>
        <w:lastRenderedPageBreak/>
        <w:t>UN experts last year wrote to the Cambodian authorities asking them not proceed with implementation of the legislation until rigorous human rights safeguards were implemented.</w:t>
      </w:r>
    </w:p>
    <w:p w14:paraId="73156C4F" w14:textId="77777777" w:rsidR="00E84191" w:rsidRPr="00A55456" w:rsidRDefault="00E84191" w:rsidP="00E84191">
      <w:pPr>
        <w:rPr>
          <w:rFonts w:ascii="Arial" w:eastAsia="Calibri" w:hAnsi="Arial" w:cs="Arial"/>
          <w:sz w:val="24"/>
          <w:szCs w:val="24"/>
          <w:lang w:bidi="km-KH"/>
        </w:rPr>
      </w:pPr>
      <w:r w:rsidRPr="00A55456">
        <w:rPr>
          <w:rFonts w:ascii="Arial" w:eastAsia="Calibri" w:hAnsi="Arial" w:cs="Arial"/>
          <w:sz w:val="24"/>
          <w:szCs w:val="24"/>
          <w:lang w:bidi="km-KH"/>
        </w:rPr>
        <w:t>“To open up to such wide-ranging control could result in the backsliding of innumerable human rights protections and guarantees that have been achieved over the preceding decades – and once the genie is out of the bottle it is very hard to be contained again,” the experts said.</w:t>
      </w:r>
    </w:p>
    <w:p w14:paraId="17E9118E" w14:textId="77777777" w:rsidR="00E84191" w:rsidRPr="00A55456" w:rsidRDefault="00E84191" w:rsidP="00E84191">
      <w:pPr>
        <w:rPr>
          <w:rFonts w:ascii="Arial" w:eastAsia="Calibri" w:hAnsi="Arial" w:cs="Arial"/>
          <w:sz w:val="24"/>
          <w:szCs w:val="24"/>
          <w:lang w:bidi="km-KH"/>
        </w:rPr>
      </w:pPr>
    </w:p>
    <w:p w14:paraId="63533BFE" w14:textId="77777777" w:rsidR="00E84191" w:rsidRPr="00A55456" w:rsidRDefault="00E84191" w:rsidP="00E84191">
      <w:pPr>
        <w:rPr>
          <w:rFonts w:ascii="Arial" w:eastAsia="Calibri" w:hAnsi="Arial" w:cs="Arial"/>
          <w:sz w:val="24"/>
          <w:szCs w:val="24"/>
          <w:lang w:bidi="km-KH"/>
        </w:rPr>
      </w:pPr>
      <w:r w:rsidRPr="00A55456">
        <w:rPr>
          <w:rFonts w:ascii="Arial" w:eastAsia="Calibri" w:hAnsi="Arial" w:cs="Arial"/>
          <w:sz w:val="24"/>
          <w:szCs w:val="24"/>
          <w:lang w:bidi="km-KH"/>
        </w:rPr>
        <w:t>ENDS</w:t>
      </w:r>
    </w:p>
    <w:p w14:paraId="0B315D16" w14:textId="77777777" w:rsidR="00E84191" w:rsidRPr="00A55456" w:rsidRDefault="00E84191" w:rsidP="00E84191">
      <w:pPr>
        <w:rPr>
          <w:rFonts w:ascii="Arial" w:eastAsia="Calibri" w:hAnsi="Arial" w:cs="Arial"/>
          <w:sz w:val="24"/>
          <w:szCs w:val="24"/>
          <w:lang w:bidi="km-KH"/>
        </w:rPr>
      </w:pPr>
    </w:p>
    <w:p w14:paraId="7FCCD859" w14:textId="77777777" w:rsidR="00E84191" w:rsidRPr="00A55456" w:rsidRDefault="00E84191" w:rsidP="00E84191">
      <w:pPr>
        <w:rPr>
          <w:rFonts w:ascii="Arial" w:eastAsia="Calibri" w:hAnsi="Arial" w:cs="Arial"/>
          <w:color w:val="000000"/>
          <w:sz w:val="22"/>
          <w:szCs w:val="22"/>
          <w:lang w:bidi="km-KH"/>
        </w:rPr>
      </w:pPr>
      <w:r w:rsidRPr="00A55456">
        <w:rPr>
          <w:rFonts w:ascii="Arial" w:eastAsia="Calibri" w:hAnsi="Arial" w:cs="Arial"/>
          <w:b/>
          <w:i/>
          <w:sz w:val="22"/>
          <w:szCs w:val="22"/>
          <w:lang w:bidi="km-KH"/>
        </w:rPr>
        <w:t>*</w:t>
      </w:r>
      <w:r w:rsidRPr="00A55456">
        <w:rPr>
          <w:rFonts w:ascii="Arial" w:eastAsia="Calibri" w:hAnsi="Arial" w:cs="Arial"/>
          <w:i/>
          <w:color w:val="000000"/>
          <w:sz w:val="22"/>
          <w:szCs w:val="22"/>
          <w:lang w:bidi="km-KH"/>
        </w:rPr>
        <w:t> </w:t>
      </w:r>
      <w:r w:rsidRPr="00A55456">
        <w:rPr>
          <w:rFonts w:ascii="Arial" w:eastAsia="Calibri" w:hAnsi="Arial" w:cs="Arial"/>
          <w:b/>
          <w:bCs/>
          <w:i/>
          <w:color w:val="000000"/>
          <w:sz w:val="22"/>
          <w:szCs w:val="22"/>
          <w:lang w:bidi="km-KH"/>
        </w:rPr>
        <w:t>The experts:</w:t>
      </w:r>
      <w:r w:rsidRPr="00A55456">
        <w:rPr>
          <w:rFonts w:ascii="Arial" w:eastAsia="Calibri" w:hAnsi="Arial" w:cs="Arial"/>
          <w:i/>
          <w:color w:val="000000"/>
          <w:sz w:val="22"/>
          <w:szCs w:val="22"/>
          <w:lang w:bidi="km-KH"/>
        </w:rPr>
        <w:t> </w:t>
      </w:r>
      <w:r w:rsidRPr="00A55456">
        <w:rPr>
          <w:rFonts w:ascii="Arial" w:eastAsia="Calibri" w:hAnsi="Arial" w:cs="Arial"/>
          <w:b/>
          <w:bCs/>
          <w:i/>
          <w:color w:val="000000"/>
          <w:sz w:val="22"/>
          <w:szCs w:val="22"/>
          <w:lang w:bidi="km-KH"/>
        </w:rPr>
        <w:t>Mr. Vitit Muntarbhorn</w:t>
      </w:r>
      <w:r w:rsidRPr="00A55456">
        <w:rPr>
          <w:rFonts w:ascii="Arial" w:eastAsia="Calibri" w:hAnsi="Arial" w:cs="Arial"/>
          <w:i/>
          <w:color w:val="000000"/>
          <w:sz w:val="22"/>
          <w:szCs w:val="22"/>
          <w:lang w:bidi="km-KH"/>
        </w:rPr>
        <w:t>, </w:t>
      </w:r>
      <w:hyperlink r:id="rId11" w:history="1">
        <w:r w:rsidRPr="00A55456">
          <w:rPr>
            <w:rFonts w:ascii="Arial" w:eastAsia="Calibri" w:hAnsi="Arial" w:cs="Arial"/>
            <w:i/>
            <w:iCs/>
            <w:color w:val="0000FF"/>
            <w:sz w:val="22"/>
            <w:szCs w:val="22"/>
            <w:lang w:bidi="km-KH"/>
          </w:rPr>
          <w:t>Special Rapporteur on the situation of human rights in Cambodia</w:t>
        </w:r>
      </w:hyperlink>
      <w:r w:rsidRPr="00A55456">
        <w:rPr>
          <w:rFonts w:ascii="Arial" w:eastAsia="Calibri" w:hAnsi="Arial" w:cs="Arial"/>
          <w:color w:val="000000"/>
          <w:sz w:val="22"/>
          <w:szCs w:val="22"/>
          <w:lang w:bidi="km-KH"/>
        </w:rPr>
        <w:t>;</w:t>
      </w:r>
      <w:r w:rsidRPr="00A55456">
        <w:rPr>
          <w:rFonts w:ascii="Arial" w:eastAsia="Calibri" w:hAnsi="Arial" w:cs="Arial"/>
          <w:i/>
          <w:color w:val="000000"/>
          <w:sz w:val="22"/>
          <w:szCs w:val="22"/>
          <w:lang w:bidi="km-KH"/>
        </w:rPr>
        <w:t> </w:t>
      </w:r>
      <w:r w:rsidRPr="00A55456">
        <w:rPr>
          <w:rFonts w:ascii="Arial" w:eastAsia="Calibri" w:hAnsi="Arial" w:cs="Arial"/>
          <w:b/>
          <w:bCs/>
          <w:i/>
          <w:color w:val="000000"/>
          <w:sz w:val="22"/>
          <w:szCs w:val="22"/>
          <w:lang w:bidi="km-KH"/>
        </w:rPr>
        <w:t>Ms. Irene Khan,</w:t>
      </w:r>
      <w:r w:rsidRPr="00A55456">
        <w:rPr>
          <w:rFonts w:ascii="Arial" w:eastAsia="Calibri" w:hAnsi="Arial" w:cs="Arial"/>
          <w:i/>
          <w:color w:val="000000"/>
          <w:sz w:val="22"/>
          <w:szCs w:val="22"/>
          <w:lang w:bidi="km-KH"/>
        </w:rPr>
        <w:t> </w:t>
      </w:r>
      <w:hyperlink r:id="rId12" w:history="1">
        <w:r w:rsidRPr="00A55456">
          <w:rPr>
            <w:rFonts w:ascii="Arial" w:eastAsia="Calibri" w:hAnsi="Arial" w:cs="Arial"/>
            <w:i/>
            <w:color w:val="0563C1"/>
            <w:sz w:val="22"/>
            <w:szCs w:val="22"/>
            <w:u w:val="single"/>
            <w:lang w:bidi="km-KH"/>
          </w:rPr>
          <w:t>Special Rapporteur on the promotion and protection of the right to freedom of opinion and expression</w:t>
        </w:r>
      </w:hyperlink>
      <w:r w:rsidRPr="00A55456">
        <w:rPr>
          <w:rFonts w:ascii="Arial" w:eastAsia="Calibri" w:hAnsi="Arial" w:cs="Arial"/>
          <w:i/>
          <w:color w:val="000000"/>
          <w:sz w:val="22"/>
          <w:szCs w:val="22"/>
          <w:lang w:bidi="km-KH"/>
        </w:rPr>
        <w:t>; and </w:t>
      </w:r>
      <w:r w:rsidRPr="00A55456">
        <w:rPr>
          <w:rFonts w:ascii="Arial" w:eastAsia="Calibri" w:hAnsi="Arial" w:cs="Arial"/>
          <w:b/>
          <w:bCs/>
          <w:i/>
          <w:color w:val="000000"/>
          <w:sz w:val="22"/>
          <w:szCs w:val="22"/>
          <w:lang w:bidi="km-KH"/>
        </w:rPr>
        <w:t>Ms. Mary Lawlor</w:t>
      </w:r>
      <w:r w:rsidRPr="00A55456">
        <w:rPr>
          <w:rFonts w:ascii="Arial" w:eastAsia="Calibri" w:hAnsi="Arial" w:cs="Arial"/>
          <w:i/>
          <w:color w:val="000000"/>
          <w:sz w:val="22"/>
          <w:szCs w:val="22"/>
          <w:lang w:bidi="km-KH"/>
        </w:rPr>
        <w:t>, </w:t>
      </w:r>
      <w:hyperlink r:id="rId13" w:history="1">
        <w:r w:rsidRPr="00A55456">
          <w:rPr>
            <w:rFonts w:ascii="Arial" w:eastAsia="Calibri" w:hAnsi="Arial" w:cs="Arial"/>
            <w:i/>
            <w:iCs/>
            <w:color w:val="0000FF"/>
            <w:sz w:val="22"/>
            <w:szCs w:val="22"/>
            <w:lang w:bidi="km-KH"/>
          </w:rPr>
          <w:t>Special Rapporteur on the situation of human rights defenders</w:t>
        </w:r>
      </w:hyperlink>
      <w:r w:rsidRPr="00A55456">
        <w:rPr>
          <w:rFonts w:ascii="Arial" w:eastAsia="Calibri" w:hAnsi="Arial" w:cs="Arial"/>
          <w:color w:val="000000"/>
          <w:sz w:val="22"/>
          <w:szCs w:val="22"/>
          <w:lang w:bidi="km-KH"/>
        </w:rPr>
        <w:t>.</w:t>
      </w:r>
    </w:p>
    <w:p w14:paraId="7094D9D9" w14:textId="77777777" w:rsidR="00E84191" w:rsidRPr="00A55456" w:rsidRDefault="00E84191" w:rsidP="00E84191">
      <w:pPr>
        <w:shd w:val="clear" w:color="auto" w:fill="FFFFFF"/>
        <w:spacing w:before="100" w:beforeAutospacing="1" w:after="100" w:afterAutospacing="1"/>
        <w:rPr>
          <w:rFonts w:ascii="Arial" w:hAnsi="Arial" w:cs="Arial"/>
          <w:color w:val="000000"/>
          <w:sz w:val="22"/>
          <w:szCs w:val="22"/>
          <w:lang w:eastAsia="en-GB"/>
        </w:rPr>
      </w:pPr>
      <w:r w:rsidRPr="00A55456">
        <w:rPr>
          <w:rFonts w:ascii="Arial" w:hAnsi="Arial" w:cs="Arial"/>
          <w:i/>
          <w:iCs/>
          <w:color w:val="000000"/>
          <w:sz w:val="22"/>
          <w:szCs w:val="22"/>
          <w:lang w:eastAsia="en-GB"/>
        </w:rPr>
        <w:t>Special Rapporteurs are part of what is known as the Special Procedures 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they are not UN staff and do not receive a salary for their work. They are independent from any government or organization and serve in their individual capacity.</w:t>
      </w:r>
    </w:p>
    <w:p w14:paraId="19763C11" w14:textId="77777777" w:rsidR="00E84191" w:rsidRPr="00A55456" w:rsidRDefault="00E84191" w:rsidP="00E84191">
      <w:pPr>
        <w:shd w:val="clear" w:color="auto" w:fill="FFFFFF"/>
        <w:spacing w:before="100" w:beforeAutospacing="1" w:after="100" w:afterAutospacing="1"/>
        <w:rPr>
          <w:rFonts w:ascii="Arial" w:hAnsi="Arial" w:cs="Arial"/>
          <w:i/>
          <w:iCs/>
          <w:color w:val="000000"/>
          <w:sz w:val="22"/>
          <w:szCs w:val="22"/>
          <w:lang w:eastAsia="en-GB"/>
        </w:rPr>
      </w:pPr>
      <w:r w:rsidRPr="00A55456">
        <w:rPr>
          <w:rFonts w:ascii="Arial" w:hAnsi="Arial" w:cs="Arial"/>
          <w:i/>
          <w:iCs/>
          <w:color w:val="000000"/>
          <w:sz w:val="22"/>
          <w:szCs w:val="22"/>
          <w:lang w:eastAsia="en-GB"/>
        </w:rPr>
        <w:t>For inquiries and </w:t>
      </w:r>
      <w:r w:rsidRPr="00A55456">
        <w:rPr>
          <w:rFonts w:ascii="Arial" w:hAnsi="Arial" w:cs="Arial"/>
          <w:b/>
          <w:bCs/>
          <w:i/>
          <w:iCs/>
          <w:color w:val="000000"/>
          <w:sz w:val="22"/>
          <w:szCs w:val="22"/>
          <w:lang w:eastAsia="en-GB"/>
        </w:rPr>
        <w:t>media requests</w:t>
      </w:r>
      <w:r w:rsidRPr="00A55456">
        <w:rPr>
          <w:rFonts w:ascii="Arial" w:hAnsi="Arial" w:cs="Arial"/>
          <w:i/>
          <w:iCs/>
          <w:color w:val="000000"/>
          <w:sz w:val="22"/>
          <w:szCs w:val="22"/>
          <w:lang w:eastAsia="en-GB"/>
        </w:rPr>
        <w:t xml:space="preserve">, please contact </w:t>
      </w:r>
      <w:r w:rsidRPr="00A55456">
        <w:rPr>
          <w:rFonts w:ascii="Arial" w:hAnsi="Arial" w:cs="Arial"/>
          <w:i/>
          <w:iCs/>
          <w:color w:val="000000"/>
          <w:sz w:val="22"/>
          <w:szCs w:val="22"/>
          <w:shd w:val="clear" w:color="auto" w:fill="FFFFFF"/>
          <w:lang w:eastAsia="en-GB"/>
        </w:rPr>
        <w:t xml:space="preserve">Amanda Fisher (+855 17 875 592 / </w:t>
      </w:r>
      <w:hyperlink r:id="rId14" w:history="1">
        <w:r w:rsidRPr="00A55456">
          <w:rPr>
            <w:rFonts w:ascii="Arial" w:hAnsi="Arial" w:cs="Arial"/>
            <w:i/>
            <w:iCs/>
            <w:color w:val="0563C1"/>
            <w:sz w:val="22"/>
            <w:szCs w:val="22"/>
            <w:u w:val="single"/>
            <w:shd w:val="clear" w:color="auto" w:fill="FFFFFF"/>
            <w:lang w:eastAsia="en-GB"/>
          </w:rPr>
          <w:t>fisher4@un.org</w:t>
        </w:r>
      </w:hyperlink>
      <w:r w:rsidRPr="00A55456">
        <w:rPr>
          <w:rFonts w:ascii="Arial" w:hAnsi="Arial" w:cs="Arial"/>
          <w:i/>
          <w:iCs/>
          <w:color w:val="000000"/>
          <w:sz w:val="22"/>
          <w:szCs w:val="22"/>
          <w:shd w:val="clear" w:color="auto" w:fill="FFFFFF"/>
          <w:lang w:eastAsia="en-GB"/>
        </w:rPr>
        <w:t xml:space="preserve">) or Emily Walker (+41 22 917 4121 / </w:t>
      </w:r>
      <w:r w:rsidRPr="00A55456">
        <w:rPr>
          <w:rFonts w:ascii="Arial" w:hAnsi="Arial" w:cs="Arial"/>
          <w:i/>
          <w:iCs/>
          <w:color w:val="0070C0"/>
          <w:sz w:val="22"/>
          <w:szCs w:val="22"/>
          <w:shd w:val="clear" w:color="auto" w:fill="FFFFFF"/>
          <w:lang w:eastAsia="en-GB"/>
        </w:rPr>
        <w:t>emily.walker</w:t>
      </w:r>
      <w:hyperlink r:id="rId15" w:history="1">
        <w:r w:rsidRPr="00A55456">
          <w:rPr>
            <w:rFonts w:ascii="Arial" w:hAnsi="Arial" w:cs="Arial"/>
            <w:i/>
            <w:iCs/>
            <w:color w:val="0070C0"/>
            <w:sz w:val="22"/>
            <w:szCs w:val="22"/>
            <w:shd w:val="clear" w:color="auto" w:fill="FFFFFF"/>
            <w:lang w:eastAsia="en-GB"/>
          </w:rPr>
          <w:t>@un.org</w:t>
        </w:r>
      </w:hyperlink>
      <w:r w:rsidRPr="00A55456">
        <w:rPr>
          <w:rFonts w:ascii="Arial" w:hAnsi="Arial" w:cs="Arial"/>
          <w:i/>
          <w:iCs/>
          <w:color w:val="000000"/>
          <w:sz w:val="22"/>
          <w:szCs w:val="22"/>
          <w:shd w:val="clear" w:color="auto" w:fill="FFFFFF"/>
          <w:lang w:eastAsia="en-GB"/>
        </w:rPr>
        <w:t>)</w:t>
      </w:r>
    </w:p>
    <w:p w14:paraId="67EB10BF" w14:textId="77777777" w:rsidR="00E84191" w:rsidRPr="00A55456" w:rsidRDefault="00E84191" w:rsidP="00E84191">
      <w:pPr>
        <w:shd w:val="clear" w:color="auto" w:fill="FFFFFF"/>
        <w:spacing w:before="100" w:beforeAutospacing="1" w:after="100" w:afterAutospacing="1"/>
        <w:rPr>
          <w:rFonts w:ascii="Arial" w:hAnsi="Arial" w:cs="Arial"/>
          <w:i/>
          <w:iCs/>
          <w:color w:val="000000"/>
          <w:sz w:val="22"/>
          <w:szCs w:val="22"/>
          <w:lang w:eastAsia="en-GB"/>
        </w:rPr>
      </w:pPr>
      <w:r w:rsidRPr="00A55456">
        <w:rPr>
          <w:rFonts w:ascii="Arial" w:hAnsi="Arial" w:cs="Arial"/>
          <w:i/>
          <w:iCs/>
          <w:color w:val="000000"/>
          <w:sz w:val="22"/>
          <w:szCs w:val="22"/>
          <w:lang w:eastAsia="en-GB"/>
        </w:rPr>
        <w:t>For media enquiries regarding other UN independent experts, please contact: Jeremy Laurence (+ 41 22 917 7578 / </w:t>
      </w:r>
      <w:hyperlink r:id="rId16" w:history="1">
        <w:r w:rsidRPr="00A55456">
          <w:rPr>
            <w:rFonts w:ascii="Arial" w:hAnsi="Arial" w:cs="Arial"/>
            <w:color w:val="0563C1"/>
            <w:sz w:val="22"/>
            <w:szCs w:val="22"/>
            <w:u w:val="single"/>
            <w:lang w:eastAsia="en-GB"/>
          </w:rPr>
          <w:t>jeremy.laurence@un.org</w:t>
        </w:r>
      </w:hyperlink>
      <w:r w:rsidRPr="00A55456">
        <w:rPr>
          <w:rFonts w:ascii="Arial" w:hAnsi="Arial" w:cs="Arial"/>
          <w:i/>
          <w:iCs/>
          <w:color w:val="000000"/>
          <w:sz w:val="22"/>
          <w:szCs w:val="22"/>
          <w:lang w:eastAsia="en-GB"/>
        </w:rPr>
        <w:t>).</w:t>
      </w:r>
    </w:p>
    <w:p w14:paraId="3FEE4E8C" w14:textId="77777777" w:rsidR="00E84191" w:rsidRPr="00A55456" w:rsidRDefault="00E84191" w:rsidP="00E84191">
      <w:pPr>
        <w:shd w:val="clear" w:color="auto" w:fill="FFFFFF"/>
        <w:spacing w:before="100" w:beforeAutospacing="1" w:after="100" w:afterAutospacing="1"/>
        <w:rPr>
          <w:rFonts w:ascii="Arial" w:hAnsi="Arial" w:cs="Arial"/>
          <w:color w:val="000000"/>
          <w:sz w:val="22"/>
          <w:szCs w:val="22"/>
          <w:lang w:eastAsia="en-GB"/>
        </w:rPr>
      </w:pPr>
      <w:r w:rsidRPr="00A55456">
        <w:rPr>
          <w:rFonts w:ascii="Arial" w:hAnsi="Arial" w:cs="Arial"/>
          <w:i/>
          <w:iCs/>
          <w:color w:val="000000"/>
          <w:sz w:val="22"/>
          <w:szCs w:val="22"/>
          <w:lang w:eastAsia="en-GB"/>
        </w:rPr>
        <w:t>Follow news related to the UN's independent human rights experts on Twitter</w:t>
      </w:r>
      <w:hyperlink r:id="rId17" w:history="1">
        <w:r w:rsidRPr="00A55456">
          <w:rPr>
            <w:rFonts w:ascii="Arial" w:hAnsi="Arial" w:cs="Arial"/>
            <w:i/>
            <w:iCs/>
            <w:color w:val="0000FF"/>
            <w:sz w:val="22"/>
            <w:szCs w:val="22"/>
            <w:lang w:eastAsia="en-GB"/>
          </w:rPr>
          <w:t>@UN_SPExperts</w:t>
        </w:r>
      </w:hyperlink>
    </w:p>
    <w:p w14:paraId="34481E90" w14:textId="77777777" w:rsidR="00E84191" w:rsidRPr="00A55456" w:rsidRDefault="00E84191" w:rsidP="00E84191">
      <w:pPr>
        <w:shd w:val="clear" w:color="auto" w:fill="FFFFFF"/>
        <w:spacing w:before="100" w:beforeAutospacing="1" w:after="100" w:afterAutospacing="1"/>
        <w:jc w:val="center"/>
        <w:rPr>
          <w:rFonts w:ascii="Arial" w:hAnsi="Arial" w:cs="Arial"/>
          <w:color w:val="000000"/>
          <w:lang w:eastAsia="en-GB"/>
        </w:rPr>
      </w:pPr>
      <w:r w:rsidRPr="00A55456">
        <w:rPr>
          <w:rFonts w:ascii="Arial" w:hAnsi="Arial" w:cs="Arial"/>
          <w:color w:val="000000"/>
          <w:lang w:eastAsia="en-GB"/>
        </w:rPr>
        <w:t>Concerned about the world we live in?</w:t>
      </w:r>
      <w:r w:rsidRPr="00A55456">
        <w:rPr>
          <w:rFonts w:ascii="Arial" w:hAnsi="Arial" w:cs="Arial"/>
          <w:color w:val="000000"/>
          <w:lang w:eastAsia="en-GB"/>
        </w:rPr>
        <w:br/>
      </w:r>
      <w:r w:rsidRPr="00A55456">
        <w:rPr>
          <w:rFonts w:ascii="Arial" w:hAnsi="Arial" w:cs="Arial"/>
          <w:b/>
          <w:bCs/>
          <w:color w:val="000000"/>
          <w:lang w:eastAsia="en-GB"/>
        </w:rPr>
        <w:t>Then STAND UP for someone's rights today.</w:t>
      </w:r>
      <w:r w:rsidRPr="00A55456">
        <w:rPr>
          <w:rFonts w:ascii="Arial" w:hAnsi="Arial" w:cs="Arial"/>
          <w:color w:val="000000"/>
          <w:lang w:eastAsia="en-GB"/>
        </w:rPr>
        <w:br/>
        <w:t>#Standup4humanrights</w:t>
      </w:r>
      <w:r w:rsidRPr="00A55456">
        <w:rPr>
          <w:rFonts w:ascii="Arial" w:hAnsi="Arial" w:cs="Arial"/>
          <w:color w:val="000000"/>
          <w:lang w:eastAsia="en-GB"/>
        </w:rPr>
        <w:br/>
        <w:t>and visit the web page at </w:t>
      </w:r>
      <w:hyperlink r:id="rId18" w:history="1">
        <w:r w:rsidRPr="00A55456">
          <w:rPr>
            <w:rFonts w:ascii="Arial" w:hAnsi="Arial" w:cs="Arial"/>
            <w:color w:val="0563C1"/>
            <w:u w:val="single"/>
            <w:lang w:eastAsia="en-GB"/>
          </w:rPr>
          <w:t>http://www.standup4humanrights.org</w:t>
        </w:r>
      </w:hyperlink>
    </w:p>
    <w:p w14:paraId="4DC93BA6" w14:textId="77777777" w:rsidR="00E84191" w:rsidRPr="00A55456" w:rsidRDefault="00E84191" w:rsidP="00E84191">
      <w:pPr>
        <w:rPr>
          <w:rFonts w:ascii="Arial" w:eastAsia="Calibri" w:hAnsi="Arial" w:cs="Arial"/>
          <w:b/>
          <w:i/>
          <w:sz w:val="22"/>
          <w:szCs w:val="22"/>
          <w:lang w:bidi="km-KH"/>
        </w:rPr>
      </w:pPr>
    </w:p>
    <w:p w14:paraId="3C023821" w14:textId="77777777" w:rsidR="00E84191" w:rsidRPr="00A55456" w:rsidRDefault="00E84191" w:rsidP="00E84191">
      <w:pPr>
        <w:rPr>
          <w:rFonts w:ascii="Arial" w:eastAsia="Calibri" w:hAnsi="Arial" w:cs="Arial"/>
          <w:b/>
          <w:i/>
          <w:sz w:val="22"/>
          <w:szCs w:val="22"/>
          <w:lang w:bidi="km-KH"/>
        </w:rPr>
      </w:pPr>
    </w:p>
    <w:p w14:paraId="3C302840" w14:textId="77777777" w:rsidR="00E84191" w:rsidRPr="00A55456" w:rsidRDefault="00E84191" w:rsidP="00E84191">
      <w:pPr>
        <w:rPr>
          <w:rFonts w:ascii="Arial" w:eastAsia="Calibri" w:hAnsi="Arial" w:cs="Arial"/>
          <w:b/>
          <w:i/>
          <w:sz w:val="22"/>
          <w:szCs w:val="22"/>
          <w:lang w:bidi="km-KH"/>
        </w:rPr>
      </w:pPr>
    </w:p>
    <w:p w14:paraId="1E84E60F" w14:textId="77777777" w:rsidR="00E84191" w:rsidRPr="0095315E" w:rsidRDefault="00E84191" w:rsidP="00E84191">
      <w:pPr>
        <w:jc w:val="center"/>
        <w:rPr>
          <w:color w:val="000000"/>
          <w:sz w:val="24"/>
          <w:szCs w:val="24"/>
        </w:rPr>
      </w:pPr>
    </w:p>
    <w:p w14:paraId="6B7A99E0" w14:textId="77777777" w:rsidR="00446FE5" w:rsidRPr="00770252" w:rsidRDefault="00446FE5" w:rsidP="00B55090">
      <w:pPr>
        <w:rPr>
          <w:lang w:val="en-US"/>
        </w:rPr>
      </w:pPr>
    </w:p>
    <w:sectPr w:rsidR="00446FE5" w:rsidRPr="007702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554A" w14:textId="77777777" w:rsidR="00F9594E" w:rsidRDefault="00F9594E" w:rsidP="00F95C08"/>
  </w:endnote>
  <w:endnote w:type="continuationSeparator" w:id="0">
    <w:p w14:paraId="282E2E33" w14:textId="77777777" w:rsidR="00F9594E" w:rsidRPr="00AC3823" w:rsidRDefault="00F9594E" w:rsidP="00AC3823">
      <w:pPr>
        <w:pStyle w:val="Footer"/>
      </w:pPr>
    </w:p>
  </w:endnote>
  <w:endnote w:type="continuationNotice" w:id="1">
    <w:p w14:paraId="6D54470D" w14:textId="77777777" w:rsidR="00F9594E" w:rsidRDefault="00F95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5139" w14:textId="77777777" w:rsidR="00F9594E" w:rsidRPr="00AC3823" w:rsidRDefault="00F9594E" w:rsidP="00AC3823">
      <w:pPr>
        <w:pStyle w:val="Footer"/>
        <w:tabs>
          <w:tab w:val="right" w:pos="2155"/>
        </w:tabs>
        <w:spacing w:after="80" w:line="240" w:lineRule="atLeast"/>
        <w:ind w:left="680"/>
        <w:rPr>
          <w:u w:val="single"/>
        </w:rPr>
      </w:pPr>
      <w:r>
        <w:rPr>
          <w:u w:val="single"/>
        </w:rPr>
        <w:tab/>
      </w:r>
    </w:p>
  </w:footnote>
  <w:footnote w:type="continuationSeparator" w:id="0">
    <w:p w14:paraId="05500424" w14:textId="77777777" w:rsidR="00F9594E" w:rsidRPr="00AC3823" w:rsidRDefault="00F9594E" w:rsidP="00AC3823">
      <w:pPr>
        <w:pStyle w:val="Footer"/>
        <w:tabs>
          <w:tab w:val="right" w:pos="2155"/>
        </w:tabs>
        <w:spacing w:after="80" w:line="240" w:lineRule="atLeast"/>
        <w:ind w:left="680"/>
        <w:rPr>
          <w:u w:val="single"/>
        </w:rPr>
      </w:pPr>
      <w:r>
        <w:rPr>
          <w:u w:val="single"/>
        </w:rPr>
        <w:tab/>
      </w:r>
    </w:p>
  </w:footnote>
  <w:footnote w:type="continuationNotice" w:id="1">
    <w:p w14:paraId="59E102B5" w14:textId="77777777" w:rsidR="00F9594E" w:rsidRPr="00AC3823" w:rsidRDefault="00F9594E">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91"/>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B082E"/>
    <w:rsid w:val="003D1AD0"/>
    <w:rsid w:val="00446FE5"/>
    <w:rsid w:val="00452396"/>
    <w:rsid w:val="004D1CEB"/>
    <w:rsid w:val="005505B7"/>
    <w:rsid w:val="005706C8"/>
    <w:rsid w:val="00573BE5"/>
    <w:rsid w:val="00586ED3"/>
    <w:rsid w:val="00596AA9"/>
    <w:rsid w:val="006122C4"/>
    <w:rsid w:val="00626CA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C30D2"/>
    <w:rsid w:val="00CF3AE1"/>
    <w:rsid w:val="00D3439C"/>
    <w:rsid w:val="00D40AEB"/>
    <w:rsid w:val="00DA22F4"/>
    <w:rsid w:val="00DB1831"/>
    <w:rsid w:val="00DD3BFD"/>
    <w:rsid w:val="00DF6678"/>
    <w:rsid w:val="00E22CF2"/>
    <w:rsid w:val="00E33F14"/>
    <w:rsid w:val="00E44A12"/>
    <w:rsid w:val="00E52D9F"/>
    <w:rsid w:val="00E84191"/>
    <w:rsid w:val="00F12269"/>
    <w:rsid w:val="00F164B0"/>
    <w:rsid w:val="00F660DF"/>
    <w:rsid w:val="00F80094"/>
    <w:rsid w:val="00F9594E"/>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2F8DB"/>
  <w15:chartTrackingRefBased/>
  <w15:docId w15:val="{B7566EEC-CD0C-433B-A45C-74F61BAC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91"/>
    <w:rPr>
      <w:rFonts w:eastAsia="Times New Roman"/>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7CB5D.1B2251B0" TargetMode="External"/><Relationship Id="rId13" Type="http://schemas.openxmlformats.org/officeDocument/2006/relationships/hyperlink" Target="https://www.ohchr.org/en/issues/srhrdefenders/pages/srhrdefendersindex.aspx" TargetMode="External"/><Relationship Id="rId18" Type="http://schemas.openxmlformats.org/officeDocument/2006/relationships/hyperlink" Target="http://www.standup4humanrights.org/"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ohchr.org/EN/Issues/FreedomOpinion/Pages/OpinionIndex.aspx" TargetMode="External"/><Relationship Id="rId17" Type="http://schemas.openxmlformats.org/officeDocument/2006/relationships/hyperlink" Target="https://twitter.com/UN_SPExperts" TargetMode="External"/><Relationship Id="rId2" Type="http://schemas.openxmlformats.org/officeDocument/2006/relationships/styles" Target="styles.xml"/><Relationship Id="rId16" Type="http://schemas.openxmlformats.org/officeDocument/2006/relationships/hyperlink" Target="mailto:jeremy.laurence@un.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Countries/AsiaRegion/Pages/KHIndex.aspx" TargetMode="External"/><Relationship Id="rId5" Type="http://schemas.openxmlformats.org/officeDocument/2006/relationships/footnotes" Target="footnotes.xml"/><Relationship Id="rId15" Type="http://schemas.openxmlformats.org/officeDocument/2006/relationships/hyperlink" Target="mailto:@ohchr.org" TargetMode="External"/><Relationship Id="rId10" Type="http://schemas.openxmlformats.org/officeDocument/2006/relationships/image" Target="cid:image002.gif@01D7CB5D.1B2251B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mailto:fisher4@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Walker</dc:creator>
  <cp:keywords/>
  <dc:description/>
  <cp:lastModifiedBy>Amanda Fisher</cp:lastModifiedBy>
  <cp:revision>2</cp:revision>
  <cp:lastPrinted>2014-05-14T10:59:00Z</cp:lastPrinted>
  <dcterms:created xsi:type="dcterms:W3CDTF">2022-02-01T13:17:00Z</dcterms:created>
  <dcterms:modified xsi:type="dcterms:W3CDTF">2022-02-01T13:17:00Z</dcterms:modified>
</cp:coreProperties>
</file>